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E6C5ED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bookmarkStart w:id="0" w:name="_GoBack"/>
      <w:bookmarkEnd w:id="0"/>
      <w:r>
        <w:rPr>
          <w:rFonts w:hint="eastAsia" w:ascii="黑体" w:hAnsi="宋体" w:eastAsia="黑体" w:cs="黑体"/>
          <w:i w:val="0"/>
          <w:iCs w:val="0"/>
          <w:caps w:val="0"/>
          <w:color w:val="000000"/>
          <w:spacing w:val="0"/>
          <w:kern w:val="0"/>
          <w:sz w:val="21"/>
          <w:szCs w:val="21"/>
          <w:shd w:val="clear" w:color="auto" w:fill="FFFFFF"/>
          <w:lang w:val="en-US" w:eastAsia="zh-CN" w:bidi="ar"/>
        </w:rPr>
        <w:t>附件1</w:t>
      </w:r>
    </w:p>
    <w:p w14:paraId="5CCDAEE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center"/>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血透管理系统</w:t>
      </w:r>
    </w:p>
    <w:tbl>
      <w:tblPr>
        <w:tblStyle w:val="10"/>
        <w:tblW w:w="905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9"/>
        <w:gridCol w:w="1306"/>
        <w:gridCol w:w="6866"/>
      </w:tblGrid>
      <w:tr w14:paraId="3965C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tcBorders>
              <w:top w:val="single" w:color="000000" w:sz="8" w:space="0"/>
              <w:left w:val="single" w:color="000000" w:sz="8" w:space="0"/>
              <w:bottom w:val="single" w:color="000000" w:sz="4" w:space="0"/>
              <w:right w:val="single" w:color="000000" w:sz="4" w:space="0"/>
            </w:tcBorders>
            <w:noWrap w:val="0"/>
            <w:vAlign w:val="center"/>
          </w:tcPr>
          <w:p w14:paraId="63BEE1E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序号</w:t>
            </w:r>
          </w:p>
        </w:tc>
        <w:tc>
          <w:tcPr>
            <w:tcW w:w="1306" w:type="dxa"/>
            <w:tcBorders>
              <w:top w:val="single" w:color="000000" w:sz="8" w:space="0"/>
              <w:left w:val="single" w:color="000000" w:sz="4" w:space="0"/>
              <w:bottom w:val="single" w:color="000000" w:sz="4" w:space="0"/>
              <w:right w:val="single" w:color="000000" w:sz="4" w:space="0"/>
            </w:tcBorders>
            <w:noWrap w:val="0"/>
            <w:vAlign w:val="center"/>
          </w:tcPr>
          <w:p w14:paraId="22F2FED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模块名称</w:t>
            </w:r>
          </w:p>
        </w:tc>
        <w:tc>
          <w:tcPr>
            <w:tcW w:w="6866" w:type="dxa"/>
            <w:tcBorders>
              <w:top w:val="single" w:color="000000" w:sz="8" w:space="0"/>
              <w:left w:val="single" w:color="000000" w:sz="4" w:space="0"/>
              <w:bottom w:val="single" w:color="000000" w:sz="4" w:space="0"/>
              <w:right w:val="single" w:color="000000" w:sz="8" w:space="0"/>
            </w:tcBorders>
            <w:noWrap w:val="0"/>
            <w:vAlign w:val="center"/>
          </w:tcPr>
          <w:p w14:paraId="6A956DE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技术参数说明</w:t>
            </w:r>
          </w:p>
        </w:tc>
      </w:tr>
      <w:tr w14:paraId="682C0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9" w:type="dxa"/>
            <w:vMerge w:val="restart"/>
            <w:tcBorders>
              <w:top w:val="single" w:color="000000" w:sz="4" w:space="0"/>
              <w:left w:val="single" w:color="000000" w:sz="8" w:space="0"/>
              <w:bottom w:val="single" w:color="000000" w:sz="4" w:space="0"/>
              <w:right w:val="single" w:color="000000" w:sz="4" w:space="0"/>
            </w:tcBorders>
            <w:noWrap w:val="0"/>
            <w:vAlign w:val="center"/>
          </w:tcPr>
          <w:p w14:paraId="2C074BA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1</w:t>
            </w:r>
          </w:p>
        </w:tc>
        <w:tc>
          <w:tcPr>
            <w:tcW w:w="1306" w:type="dxa"/>
            <w:vMerge w:val="restart"/>
            <w:tcBorders>
              <w:top w:val="single" w:color="000000" w:sz="4" w:space="0"/>
              <w:left w:val="single" w:color="000000" w:sz="4" w:space="0"/>
              <w:bottom w:val="single" w:color="000000" w:sz="4" w:space="0"/>
              <w:right w:val="single" w:color="000000" w:sz="4" w:space="0"/>
            </w:tcBorders>
            <w:noWrap w:val="0"/>
            <w:vAlign w:val="center"/>
          </w:tcPr>
          <w:p w14:paraId="247732C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患者管理</w:t>
            </w: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4E38C79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患者管理需要对患者基本信息、感染信息、透析信息等内容进行记录，并支持流程化指引的建档方式。</w:t>
            </w:r>
          </w:p>
        </w:tc>
      </w:tr>
      <w:tr w14:paraId="1CC9C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55403CC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C7226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228C70F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（1）支持通过身份证、就诊号从HIS中读取患者信息，如姓名、性别、身份证号、医保卡号、出生日期、年龄。</w:t>
            </w:r>
          </w:p>
        </w:tc>
      </w:tr>
      <w:tr w14:paraId="3B0DE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034CEE4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67C0A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0FA5BC8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（2）流程化建档：针对新患者，提供流程化建档指引，快速完成患者的基本信息、病史、血管通路、处方、长期医嘱等信息的录入。</w:t>
            </w:r>
          </w:p>
        </w:tc>
      </w:tr>
      <w:tr w14:paraId="51790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33747FF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E301B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52ACE90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（3）可上传患者头像</w:t>
            </w:r>
          </w:p>
        </w:tc>
      </w:tr>
      <w:tr w14:paraId="4657D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6BEDC8F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DB46D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7965BA2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（4）患者标签管理，用户可以自定义患者标签</w:t>
            </w:r>
          </w:p>
        </w:tc>
      </w:tr>
      <w:tr w14:paraId="7472E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9" w:type="dxa"/>
            <w:vMerge w:val="restart"/>
            <w:tcBorders>
              <w:top w:val="single" w:color="000000" w:sz="4" w:space="0"/>
              <w:left w:val="single" w:color="000000" w:sz="8" w:space="0"/>
              <w:bottom w:val="single" w:color="000000" w:sz="4" w:space="0"/>
              <w:right w:val="single" w:color="000000" w:sz="4" w:space="0"/>
            </w:tcBorders>
            <w:noWrap w:val="0"/>
            <w:vAlign w:val="center"/>
          </w:tcPr>
          <w:p w14:paraId="2C55624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2</w:t>
            </w:r>
          </w:p>
        </w:tc>
        <w:tc>
          <w:tcPr>
            <w:tcW w:w="1306" w:type="dxa"/>
            <w:vMerge w:val="restart"/>
            <w:tcBorders>
              <w:top w:val="single" w:color="000000" w:sz="4" w:space="0"/>
              <w:left w:val="single" w:color="000000" w:sz="4" w:space="0"/>
              <w:bottom w:val="single" w:color="000000" w:sz="4" w:space="0"/>
              <w:right w:val="single" w:color="000000" w:sz="4" w:space="0"/>
            </w:tcBorders>
            <w:noWrap w:val="0"/>
            <w:vAlign w:val="center"/>
          </w:tcPr>
          <w:p w14:paraId="08F092F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电子病历</w:t>
            </w: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60E8F93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电子病历需要需包含以下几个部分：病历首页、阶段性小结、病史资料、诊断信息、检验信息、检查信息、转归记录、病历文书、记录单、评估记录、感染事件监测、血源性病原体监测、关键指标评估。</w:t>
            </w:r>
          </w:p>
        </w:tc>
      </w:tr>
      <w:tr w14:paraId="206CC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276467B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AC98D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0AF73B6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（1）检验信息：支持从LIS中自动获取检验信息，对异常结果有明显的标志提醒。</w:t>
            </w:r>
          </w:p>
        </w:tc>
      </w:tr>
      <w:tr w14:paraId="0ECC2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432501B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87E9D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3944283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（2）检查信息：支持从PACS中自动获取检查报告信息。</w:t>
            </w:r>
          </w:p>
        </w:tc>
      </w:tr>
      <w:tr w14:paraId="0B2A9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0771792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B05BD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48DD549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（3）记录单：支持在电脑端和移动端查看透析记录单，并支持电脑端和移动端发起打印操作。</w:t>
            </w:r>
          </w:p>
        </w:tc>
      </w:tr>
      <w:tr w14:paraId="56DAB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5170EE6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A1926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4265380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（4）医疗文书：可以快速带入患者基本信息、检验、检查、病史、治疗例次、透析事件、长期医嘱信息，实现快速编写病程。</w:t>
            </w:r>
          </w:p>
        </w:tc>
      </w:tr>
      <w:tr w14:paraId="1AC71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57B74B5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15C7C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5C48DDB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5）关键指标评估报告：可以自动生成血管通路评估、贫血及铁代谢评估、生化指标评估、钙磷代谢评估、电解质及酸碱平衡评估、心脏指标评估、炎症状态评估、中大分子毒素清除评估、充分性评估、传染病指标评估、特殊检查评估、透析情况评估、最终评估、药物评估</w:t>
            </w:r>
          </w:p>
        </w:tc>
      </w:tr>
      <w:tr w14:paraId="2F637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9" w:type="dxa"/>
            <w:vMerge w:val="restart"/>
            <w:tcBorders>
              <w:top w:val="single" w:color="000000" w:sz="4" w:space="0"/>
              <w:left w:val="single" w:color="000000" w:sz="8" w:space="0"/>
              <w:bottom w:val="single" w:color="000000" w:sz="4" w:space="0"/>
              <w:right w:val="single" w:color="000000" w:sz="4" w:space="0"/>
            </w:tcBorders>
            <w:noWrap w:val="0"/>
            <w:vAlign w:val="center"/>
          </w:tcPr>
          <w:p w14:paraId="1475D7B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3</w:t>
            </w:r>
          </w:p>
        </w:tc>
        <w:tc>
          <w:tcPr>
            <w:tcW w:w="1306" w:type="dxa"/>
            <w:vMerge w:val="restart"/>
            <w:tcBorders>
              <w:top w:val="single" w:color="000000" w:sz="4" w:space="0"/>
              <w:left w:val="single" w:color="000000" w:sz="4" w:space="0"/>
              <w:bottom w:val="single" w:color="000000" w:sz="4" w:space="0"/>
              <w:right w:val="single" w:color="000000" w:sz="4" w:space="0"/>
            </w:tcBorders>
            <w:noWrap w:val="0"/>
            <w:vAlign w:val="center"/>
          </w:tcPr>
          <w:p w14:paraId="27B9918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处方管理</w:t>
            </w: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4838F10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支持对患者透析处方的管理，包括血管通路管理、透析治疗处方管理、长期医嘱管理。</w:t>
            </w:r>
          </w:p>
        </w:tc>
      </w:tr>
      <w:tr w14:paraId="0BEBF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220191C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269BD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7A99942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（1）血管通路：支持维护多条血管通路，同时支持对通路进行图像记录。</w:t>
            </w:r>
          </w:p>
        </w:tc>
      </w:tr>
      <w:tr w14:paraId="18870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4338411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9920E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3265338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2）治疗处方：需要包括透析信息、通路信息、抗凝剂信息、透析器信息、透析液信息、透析机器预设值信息等；一个患者支持建立多条透析治疗处方；支持多透析器管理，比如患者治疗频率为每周一、三、五，需支持每天不同透析器或每天多透析器的治疗方式。</w:t>
            </w:r>
          </w:p>
        </w:tc>
      </w:tr>
      <w:tr w14:paraId="687A1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7AE0378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206A1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432137F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（3）长期医嘱：需要支持患者长期医嘱的录入、修改、停用、成组操作，可根据在用/停用、口服/非口服、透析/非透析用药、嘱托/非嘱托、自备/非自备进行条件筛选</w:t>
            </w:r>
          </w:p>
        </w:tc>
      </w:tr>
      <w:tr w14:paraId="65231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0A927BA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7EB93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62D543C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（4）治疗方案：可根据透析频率设置对应的治疗班次、处方、区域、床位</w:t>
            </w:r>
          </w:p>
        </w:tc>
      </w:tr>
      <w:tr w14:paraId="44773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restart"/>
            <w:tcBorders>
              <w:top w:val="single" w:color="000000" w:sz="4" w:space="0"/>
              <w:left w:val="single" w:color="000000" w:sz="8" w:space="0"/>
              <w:bottom w:val="single" w:color="000000" w:sz="4" w:space="0"/>
              <w:right w:val="single" w:color="000000" w:sz="4" w:space="0"/>
            </w:tcBorders>
            <w:noWrap w:val="0"/>
            <w:vAlign w:val="center"/>
          </w:tcPr>
          <w:p w14:paraId="2771E96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4</w:t>
            </w:r>
          </w:p>
        </w:tc>
        <w:tc>
          <w:tcPr>
            <w:tcW w:w="1306" w:type="dxa"/>
            <w:vMerge w:val="restart"/>
            <w:tcBorders>
              <w:top w:val="single" w:color="000000" w:sz="4" w:space="0"/>
              <w:left w:val="single" w:color="000000" w:sz="4" w:space="0"/>
              <w:bottom w:val="single" w:color="000000" w:sz="4" w:space="0"/>
              <w:right w:val="single" w:color="000000" w:sz="4" w:space="0"/>
            </w:tcBorders>
            <w:noWrap w:val="0"/>
            <w:vAlign w:val="center"/>
          </w:tcPr>
          <w:p w14:paraId="2A80D80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患者排班</w:t>
            </w: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069FC09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（1）智能排床</w:t>
            </w:r>
          </w:p>
        </w:tc>
      </w:tr>
      <w:tr w14:paraId="05248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6C9872E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39752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53B71B5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系统根据患者治疗方案及内置排班算法，实现智能一键自动排班。</w:t>
            </w:r>
          </w:p>
        </w:tc>
      </w:tr>
      <w:tr w14:paraId="53B72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2F0FA37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B0E9F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07C5D1F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（2）常规排床</w:t>
            </w:r>
          </w:p>
        </w:tc>
      </w:tr>
      <w:tr w14:paraId="39FF0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30F9600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FEDAD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1B0B191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可通过复制上周和排班模板的形式完成患者排班。</w:t>
            </w:r>
          </w:p>
        </w:tc>
      </w:tr>
      <w:tr w14:paraId="77711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3C46844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B675C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514D36B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（3）感染控制</w:t>
            </w:r>
          </w:p>
        </w:tc>
      </w:tr>
      <w:tr w14:paraId="21A4C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041F605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60737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639AEBB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阳性患者不能排在阴性透析区，阴性患者不能排在阳性透析区，通过患者标识来区分出阳性患者。</w:t>
            </w:r>
          </w:p>
        </w:tc>
      </w:tr>
      <w:tr w14:paraId="22266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1F4E99D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DAADE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6489722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（4）排班配置</w:t>
            </w:r>
          </w:p>
        </w:tc>
      </w:tr>
      <w:tr w14:paraId="2D171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452FADA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9D791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177150A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可以自定义显示排班内容，如治疗方式、患者标签、透析器、血管通路、灌流器、抗凝剂、血滤患者、阳转阴患者；可以根据患者标签进行筛选</w:t>
            </w:r>
          </w:p>
        </w:tc>
      </w:tr>
      <w:tr w14:paraId="4316E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4782785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49F67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5DAD396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（5）排班轮换</w:t>
            </w:r>
          </w:p>
        </w:tc>
      </w:tr>
      <w:tr w14:paraId="5F0CB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4265A6D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C6B2F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66CE318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可以一键实现当前排班轮换</w:t>
            </w:r>
          </w:p>
        </w:tc>
      </w:tr>
      <w:tr w14:paraId="6BE34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5C844B1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B4BC0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16219CF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（6）材料准备</w:t>
            </w:r>
          </w:p>
        </w:tc>
      </w:tr>
      <w:tr w14:paraId="46867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593B9C8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1106C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1D4597C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系统需要能够支持根据排班自动生成透析材料的汇总和明细记录，同时需要支持材料汇总和明细记录的打印。</w:t>
            </w:r>
          </w:p>
        </w:tc>
      </w:tr>
      <w:tr w14:paraId="256DB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1931F41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BD398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7ACB810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（7）排班日志</w:t>
            </w:r>
          </w:p>
        </w:tc>
      </w:tr>
      <w:tr w14:paraId="2FCC6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2CF8A1C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535D8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7EA1E13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系统自动记录排班所有的操作，并提供排班日志查询的功能，让管理人员快速了解排班变化信息。</w:t>
            </w:r>
          </w:p>
        </w:tc>
      </w:tr>
      <w:tr w14:paraId="765F2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1F8DCD6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ABDB0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73810D8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（8）拖拽功能</w:t>
            </w:r>
          </w:p>
        </w:tc>
      </w:tr>
      <w:tr w14:paraId="2CF88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64C756C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CE2A8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6D3FAFE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可实现通过PC或PAD进行拖拽排班、换床。</w:t>
            </w:r>
          </w:p>
        </w:tc>
      </w:tr>
      <w:tr w14:paraId="2B3ED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9" w:type="dxa"/>
            <w:vMerge w:val="restart"/>
            <w:tcBorders>
              <w:top w:val="single" w:color="000000" w:sz="4" w:space="0"/>
              <w:left w:val="single" w:color="000000" w:sz="8" w:space="0"/>
              <w:bottom w:val="single" w:color="000000" w:sz="4" w:space="0"/>
              <w:right w:val="single" w:color="000000" w:sz="4" w:space="0"/>
            </w:tcBorders>
            <w:noWrap w:val="0"/>
            <w:vAlign w:val="center"/>
          </w:tcPr>
          <w:p w14:paraId="38861EE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5</w:t>
            </w:r>
          </w:p>
        </w:tc>
        <w:tc>
          <w:tcPr>
            <w:tcW w:w="1306" w:type="dxa"/>
            <w:vMerge w:val="restart"/>
            <w:tcBorders>
              <w:top w:val="single" w:color="000000" w:sz="4" w:space="0"/>
              <w:left w:val="single" w:color="000000" w:sz="4" w:space="0"/>
              <w:bottom w:val="single" w:color="000000" w:sz="4" w:space="0"/>
              <w:right w:val="single" w:color="000000" w:sz="4" w:space="0"/>
            </w:tcBorders>
            <w:noWrap w:val="0"/>
            <w:vAlign w:val="center"/>
          </w:tcPr>
          <w:p w14:paraId="37DF873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医生查房</w:t>
            </w: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04C05D2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医生PAD查房系统，可以方便医生在查房时查看该病人上次透析的主要情况，并方便修改透析参数，录入医嘱等的查房操作，实现与医院原有系统的无缝对接，实现无纸化的操作，不需要使用病人的纸质病历。</w:t>
            </w:r>
          </w:p>
        </w:tc>
      </w:tr>
      <w:tr w14:paraId="24B65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1FB8638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CD060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5322FA6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（1）透前参数设置：医生可以在查房的时候，实时调整透析参数的设置值，系统会以PAD端消息的方式提醒该病人所在区域的护士，由护士进行核实与确认。</w:t>
            </w:r>
          </w:p>
        </w:tc>
      </w:tr>
      <w:tr w14:paraId="09042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615B66A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57E58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3C02F0C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（2）透析历史查看：医生在查房过程中，可以很方便查看所有历次的透析记录。</w:t>
            </w:r>
          </w:p>
        </w:tc>
      </w:tr>
      <w:tr w14:paraId="3E9BB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491E131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89DB9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75C792D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（3）医嘱录入：医生在查房过程中，可以方便根据病人的透析记录情况和检验指标情况，录入透析用药。</w:t>
            </w:r>
          </w:p>
        </w:tc>
      </w:tr>
      <w:tr w14:paraId="6F478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2E22E96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BCD0F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4D0DF8D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（4）检验查询：在查房界面可以直接查看检验结果。</w:t>
            </w:r>
          </w:p>
        </w:tc>
      </w:tr>
      <w:tr w14:paraId="09B87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1CF6736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83D70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1FCF46F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（5）检查查询：查房界面可以直接查看检查结果。</w:t>
            </w:r>
          </w:p>
        </w:tc>
      </w:tr>
      <w:tr w14:paraId="008E4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7638A85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43954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67D2046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（6）快速查房：可以快速查询未按要求进行检验、检查的患者并可以自定义配置检验、检查项，可快速对比患者近两次化验信息并实现快速调整患者长期医嘱；</w:t>
            </w:r>
          </w:p>
        </w:tc>
      </w:tr>
      <w:tr w14:paraId="57AEE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2A16A08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B580F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54CE206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（7）长期医嘱：支持患者长期医嘱的录入、修改、停用、成组操作，可根据在用/停用、口服/非口服、透析/非透析用药、嘱托/非嘱托、自备/非自备进行条件筛选</w:t>
            </w:r>
          </w:p>
        </w:tc>
      </w:tr>
      <w:tr w14:paraId="2CA8E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472C8C5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C898B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3F8735B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（8）患者查询：可以根据预检时间、称重时间、上机时间、透前核对时间、床位号进行排序，可以通过班次、区域、拼音码进行检索</w:t>
            </w:r>
          </w:p>
        </w:tc>
      </w:tr>
      <w:tr w14:paraId="57F54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0B2505B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51865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653F9E3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（9）医疗文书：可以快速带入患者基本信息、检验、检查、病史、治疗例次、透析事件、长期医嘱信息，实现快速编写病程</w:t>
            </w:r>
          </w:p>
        </w:tc>
      </w:tr>
      <w:tr w14:paraId="7C3B1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9" w:type="dxa"/>
            <w:tcBorders>
              <w:top w:val="single" w:color="000000" w:sz="4" w:space="0"/>
              <w:left w:val="single" w:color="000000" w:sz="8" w:space="0"/>
              <w:bottom w:val="single" w:color="000000" w:sz="4" w:space="0"/>
              <w:right w:val="single" w:color="000000" w:sz="4" w:space="0"/>
            </w:tcBorders>
            <w:noWrap w:val="0"/>
            <w:vAlign w:val="center"/>
          </w:tcPr>
          <w:p w14:paraId="6FFA6E8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6</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07B774B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费用管理</w:t>
            </w: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65059C1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系统需要支持根据排班、实际治疗时发生的材料费，自动进行计费汇总，也可以手动进行计费。同时生成缴费单。</w:t>
            </w:r>
          </w:p>
        </w:tc>
      </w:tr>
      <w:tr w14:paraId="6CDEF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9" w:type="dxa"/>
            <w:tcBorders>
              <w:top w:val="single" w:color="000000" w:sz="4" w:space="0"/>
              <w:left w:val="single" w:color="000000" w:sz="8" w:space="0"/>
              <w:bottom w:val="single" w:color="000000" w:sz="4" w:space="0"/>
              <w:right w:val="single" w:color="000000" w:sz="4" w:space="0"/>
            </w:tcBorders>
            <w:noWrap w:val="0"/>
            <w:vAlign w:val="center"/>
          </w:tcPr>
          <w:p w14:paraId="33834C0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7</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367701C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库房管理</w:t>
            </w: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393BE4A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支持科室内部的耗材、药品管理，支持对药品、药材的入库、出库、库存、盘存管理，与医院库房对接。</w:t>
            </w:r>
          </w:p>
        </w:tc>
      </w:tr>
      <w:tr w14:paraId="7CA83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restart"/>
            <w:tcBorders>
              <w:top w:val="single" w:color="000000" w:sz="4" w:space="0"/>
              <w:left w:val="single" w:color="000000" w:sz="8" w:space="0"/>
              <w:bottom w:val="single" w:color="000000" w:sz="4" w:space="0"/>
              <w:right w:val="single" w:color="000000" w:sz="4" w:space="0"/>
            </w:tcBorders>
            <w:noWrap w:val="0"/>
            <w:vAlign w:val="center"/>
          </w:tcPr>
          <w:p w14:paraId="1BE9BDB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8</w:t>
            </w:r>
          </w:p>
        </w:tc>
        <w:tc>
          <w:tcPr>
            <w:tcW w:w="1306" w:type="dxa"/>
            <w:vMerge w:val="restart"/>
            <w:tcBorders>
              <w:top w:val="single" w:color="000000" w:sz="4" w:space="0"/>
              <w:left w:val="single" w:color="000000" w:sz="4" w:space="0"/>
              <w:bottom w:val="single" w:color="000000" w:sz="4" w:space="0"/>
              <w:right w:val="single" w:color="000000" w:sz="4" w:space="0"/>
            </w:tcBorders>
            <w:noWrap w:val="0"/>
            <w:vAlign w:val="center"/>
          </w:tcPr>
          <w:p w14:paraId="5E8D59F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设备管理</w:t>
            </w: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6A2E5F4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支持科室内部设备管理，包括设备维护、消毒记录、维修记录、保养记录等。</w:t>
            </w:r>
          </w:p>
        </w:tc>
      </w:tr>
      <w:tr w14:paraId="2E8A4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417B99F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03269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4E32C32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支持水处理机监测，包括进水压力、前置滤器、后置滤器、软水硬度等内容的监测。</w:t>
            </w:r>
          </w:p>
        </w:tc>
      </w:tr>
      <w:tr w14:paraId="4744B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tcBorders>
              <w:top w:val="single" w:color="000000" w:sz="4" w:space="0"/>
              <w:left w:val="single" w:color="000000" w:sz="8" w:space="0"/>
              <w:bottom w:val="single" w:color="000000" w:sz="4" w:space="0"/>
              <w:right w:val="single" w:color="000000" w:sz="4" w:space="0"/>
            </w:tcBorders>
            <w:noWrap w:val="0"/>
            <w:vAlign w:val="center"/>
          </w:tcPr>
          <w:p w14:paraId="72520F9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9</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33A55A8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交接班</w:t>
            </w: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596F490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自动生成交班名单、交班内容、特殊交班及交班报告</w:t>
            </w:r>
          </w:p>
        </w:tc>
      </w:tr>
      <w:tr w14:paraId="6A8E5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9" w:type="dxa"/>
            <w:vMerge w:val="restart"/>
            <w:tcBorders>
              <w:top w:val="single" w:color="000000" w:sz="4" w:space="0"/>
              <w:left w:val="single" w:color="000000" w:sz="8" w:space="0"/>
              <w:bottom w:val="single" w:color="000000" w:sz="4" w:space="0"/>
              <w:right w:val="single" w:color="000000" w:sz="4" w:space="0"/>
            </w:tcBorders>
            <w:noWrap w:val="0"/>
            <w:vAlign w:val="center"/>
          </w:tcPr>
          <w:p w14:paraId="7074F7F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10</w:t>
            </w:r>
          </w:p>
        </w:tc>
        <w:tc>
          <w:tcPr>
            <w:tcW w:w="1306" w:type="dxa"/>
            <w:vMerge w:val="restart"/>
            <w:tcBorders>
              <w:top w:val="single" w:color="000000" w:sz="4" w:space="0"/>
              <w:left w:val="single" w:color="000000" w:sz="4" w:space="0"/>
              <w:bottom w:val="single" w:color="000000" w:sz="4" w:space="0"/>
              <w:right w:val="single" w:color="000000" w:sz="4" w:space="0"/>
            </w:tcBorders>
            <w:noWrap w:val="0"/>
            <w:vAlign w:val="center"/>
          </w:tcPr>
          <w:p w14:paraId="6457B7B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统计报表</w:t>
            </w: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51FB1F3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需提供丰富的统计报表和查询功能，如：透析充分性、质控报表等多角度、多维度的各类报表。</w:t>
            </w:r>
          </w:p>
        </w:tc>
      </w:tr>
      <w:tr w14:paraId="69A86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7B02150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FDDDF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4591480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（1）系统需要内置透析充分性的评估模型，并能够根据用户的要求调整模型。</w:t>
            </w:r>
          </w:p>
        </w:tc>
      </w:tr>
      <w:tr w14:paraId="58D2E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43E972A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7827E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4187AA2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（2）需要内置质控模型。</w:t>
            </w:r>
          </w:p>
        </w:tc>
      </w:tr>
      <w:tr w14:paraId="3AB18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44A7C84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02F3B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2FD0657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（3）支持数据导出。</w:t>
            </w:r>
          </w:p>
        </w:tc>
      </w:tr>
      <w:tr w14:paraId="444CC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6E3D8D8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AFADC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4EAF553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（4）支持图表、数据表格两种显示方式。</w:t>
            </w:r>
          </w:p>
        </w:tc>
      </w:tr>
      <w:tr w14:paraId="4F24F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6923113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0AA42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0C6DAE9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（5）支持用户自定义筛选条件。</w:t>
            </w:r>
          </w:p>
        </w:tc>
      </w:tr>
      <w:tr w14:paraId="31482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9" w:type="dxa"/>
            <w:vMerge w:val="restart"/>
            <w:tcBorders>
              <w:top w:val="single" w:color="000000" w:sz="4" w:space="0"/>
              <w:left w:val="single" w:color="000000" w:sz="8" w:space="0"/>
              <w:bottom w:val="single" w:color="000000" w:sz="4" w:space="0"/>
              <w:right w:val="single" w:color="000000" w:sz="4" w:space="0"/>
            </w:tcBorders>
            <w:shd w:val="clear" w:color="auto" w:fill="auto"/>
            <w:noWrap w:val="0"/>
            <w:vAlign w:val="center"/>
          </w:tcPr>
          <w:p w14:paraId="7BF7ECA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11</w:t>
            </w:r>
          </w:p>
        </w:tc>
        <w:tc>
          <w:tcPr>
            <w:tcW w:w="130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C895C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检验提醒</w:t>
            </w: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717A627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对于定期透析患者需要有各种检验信息查询和逾期提醒功能，可自定义配置提醒内容及计划。</w:t>
            </w:r>
          </w:p>
        </w:tc>
      </w:tr>
      <w:tr w14:paraId="2AA78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shd w:val="clear" w:color="auto" w:fill="auto"/>
            <w:noWrap w:val="0"/>
            <w:vAlign w:val="center"/>
          </w:tcPr>
          <w:p w14:paraId="6A44AE5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95A50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7A0467C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例如：透析患者常规检测：血常规、肾生化等，各检验项到期未检查逾期提醒。</w:t>
            </w:r>
          </w:p>
        </w:tc>
      </w:tr>
      <w:tr w14:paraId="50FC9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restart"/>
            <w:tcBorders>
              <w:top w:val="single" w:color="000000" w:sz="4" w:space="0"/>
              <w:left w:val="single" w:color="000000" w:sz="8" w:space="0"/>
              <w:bottom w:val="single" w:color="000000" w:sz="4" w:space="0"/>
              <w:right w:val="single" w:color="000000" w:sz="4" w:space="0"/>
            </w:tcBorders>
            <w:noWrap w:val="0"/>
            <w:vAlign w:val="center"/>
          </w:tcPr>
          <w:p w14:paraId="6732F64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12</w:t>
            </w:r>
          </w:p>
        </w:tc>
        <w:tc>
          <w:tcPr>
            <w:tcW w:w="1306" w:type="dxa"/>
            <w:vMerge w:val="restart"/>
            <w:tcBorders>
              <w:top w:val="single" w:color="000000" w:sz="4" w:space="0"/>
              <w:left w:val="single" w:color="000000" w:sz="4" w:space="0"/>
              <w:bottom w:val="single" w:color="000000" w:sz="4" w:space="0"/>
              <w:right w:val="single" w:color="000000" w:sz="4" w:space="0"/>
            </w:tcBorders>
            <w:noWrap w:val="0"/>
            <w:vAlign w:val="center"/>
          </w:tcPr>
          <w:p w14:paraId="394CD58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接口设计</w:t>
            </w: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1583BE7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完成HIS、LIS对接或者从HIP上获取数据，实现：</w:t>
            </w:r>
          </w:p>
        </w:tc>
      </w:tr>
      <w:tr w14:paraId="46989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40727B6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61A0F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0ED879C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拉取患者的基本信息、化验信息、检查报告、门诊住院缴费信息；</w:t>
            </w:r>
          </w:p>
        </w:tc>
      </w:tr>
      <w:tr w14:paraId="40096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restart"/>
            <w:tcBorders>
              <w:top w:val="single" w:color="000000" w:sz="4" w:space="0"/>
              <w:left w:val="single" w:color="000000" w:sz="8" w:space="0"/>
              <w:bottom w:val="single" w:color="000000" w:sz="4" w:space="0"/>
              <w:right w:val="single" w:color="000000" w:sz="4" w:space="0"/>
            </w:tcBorders>
            <w:noWrap w:val="0"/>
            <w:vAlign w:val="center"/>
          </w:tcPr>
          <w:p w14:paraId="169E582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13</w:t>
            </w:r>
          </w:p>
        </w:tc>
        <w:tc>
          <w:tcPr>
            <w:tcW w:w="1306" w:type="dxa"/>
            <w:vMerge w:val="restart"/>
            <w:tcBorders>
              <w:top w:val="single" w:color="000000" w:sz="4" w:space="0"/>
              <w:left w:val="single" w:color="000000" w:sz="4" w:space="0"/>
              <w:bottom w:val="single" w:color="000000" w:sz="4" w:space="0"/>
              <w:right w:val="single" w:color="000000" w:sz="4" w:space="0"/>
            </w:tcBorders>
            <w:noWrap w:val="0"/>
            <w:vAlign w:val="center"/>
          </w:tcPr>
          <w:p w14:paraId="28E559A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透析机联机</w:t>
            </w: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3AA6437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医院血透室现有以下血透机：</w:t>
            </w:r>
          </w:p>
        </w:tc>
      </w:tr>
      <w:tr w14:paraId="17143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525C9EA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1116F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4BD8C8D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1、与医院具备透析机联机条件的透析机实现有线或无线连接，采集相关参数</w:t>
            </w:r>
          </w:p>
        </w:tc>
      </w:tr>
      <w:tr w14:paraId="5F9DF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27C1B5A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4FD06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1DBBF83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1）治疗参数：血流量、静脉压、跨膜压、超滤量、超滤率、电导度、透析液流量、KT/V、尿素清除率、引血流程、回血流程、消毒记录（机内开始/结束时间、消毒方式）、报警记录（压力/空气/漏血等），若透析机带有血压模块则需采集舒张压、收缩压、心率，以及其他医护人员要求的透析机数据。</w:t>
            </w:r>
          </w:p>
        </w:tc>
      </w:tr>
      <w:tr w14:paraId="594E3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0894C7F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38FE9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3EBAD56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（2）其他参数：设备消毒记录、设备操作记录记录。</w:t>
            </w:r>
          </w:p>
        </w:tc>
      </w:tr>
      <w:tr w14:paraId="473AB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3FFC0E9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399BF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7C6402A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2、透析软件系统能够满足且支持与科室大部分设备的数据双向传输，包括预设参数、透析处方直接上传到透析设备。保证数据的准确性，减轻医护人员工作量。</w:t>
            </w:r>
          </w:p>
        </w:tc>
      </w:tr>
      <w:tr w14:paraId="74FA1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45BCCD2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171C9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6E62112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需要至少支持一种型号透析机实现透析处方直接上传到机器。</w:t>
            </w:r>
          </w:p>
        </w:tc>
      </w:tr>
      <w:tr w14:paraId="090AE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1747771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2BD25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53A6BD3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3、数据同步频率：≤2分钟/次，确保临床及时获取数据，了解患者治疗情况。</w:t>
            </w:r>
          </w:p>
        </w:tc>
      </w:tr>
      <w:tr w14:paraId="77824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790E09D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8265A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06966C1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4、软件显示治疗时间与透析设备时间实时同步，该时间非软件推算，确保数据准确。</w:t>
            </w:r>
          </w:p>
        </w:tc>
      </w:tr>
      <w:tr w14:paraId="6AAF8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9" w:type="dxa"/>
            <w:tcBorders>
              <w:top w:val="single" w:color="000000" w:sz="4" w:space="0"/>
              <w:left w:val="single" w:color="000000" w:sz="8" w:space="0"/>
              <w:bottom w:val="single" w:color="000000" w:sz="4" w:space="0"/>
              <w:right w:val="single" w:color="000000" w:sz="4" w:space="0"/>
            </w:tcBorders>
            <w:noWrap w:val="0"/>
            <w:vAlign w:val="center"/>
          </w:tcPr>
          <w:p w14:paraId="24455EC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14</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6F5CBD5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质控上报</w:t>
            </w: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313D1E0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产品能够与现有全国及各省质控上报中心系统进行对接，可以完成质控数据一键导出。</w:t>
            </w:r>
          </w:p>
        </w:tc>
      </w:tr>
      <w:tr w14:paraId="58374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9" w:type="dxa"/>
            <w:tcBorders>
              <w:top w:val="single" w:color="000000" w:sz="4" w:space="0"/>
              <w:left w:val="single" w:color="000000" w:sz="8" w:space="0"/>
              <w:bottom w:val="single" w:color="000000" w:sz="4" w:space="0"/>
              <w:right w:val="single" w:color="000000" w:sz="4" w:space="0"/>
            </w:tcBorders>
            <w:noWrap w:val="0"/>
            <w:vAlign w:val="center"/>
          </w:tcPr>
          <w:p w14:paraId="54A919D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15</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3634E82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自动称重</w:t>
            </w: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2CBF238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支持患者通过人脸识别、刷卡、扫码等多种形式进行自助称重，体重数据自动记录并上传到系统。</w:t>
            </w:r>
          </w:p>
        </w:tc>
      </w:tr>
      <w:tr w14:paraId="12EBE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9" w:type="dxa"/>
            <w:tcBorders>
              <w:top w:val="single" w:color="000000" w:sz="4" w:space="0"/>
              <w:left w:val="single" w:color="000000" w:sz="8" w:space="0"/>
              <w:bottom w:val="single" w:color="000000" w:sz="4" w:space="0"/>
              <w:right w:val="single" w:color="000000" w:sz="4" w:space="0"/>
            </w:tcBorders>
            <w:noWrap w:val="0"/>
            <w:vAlign w:val="center"/>
          </w:tcPr>
          <w:p w14:paraId="2A90CD8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16</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28711F7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自助血压</w:t>
            </w: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522A281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支持患者通过人脸识别、刷卡、扫码等多种形式进行自助血压，血压信息自动记录并上传到系统。</w:t>
            </w:r>
          </w:p>
        </w:tc>
      </w:tr>
      <w:tr w14:paraId="30F3F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tcBorders>
              <w:top w:val="single" w:color="000000" w:sz="4" w:space="0"/>
              <w:left w:val="single" w:color="000000" w:sz="8" w:space="0"/>
              <w:bottom w:val="single" w:color="000000" w:sz="4" w:space="0"/>
              <w:right w:val="single" w:color="000000" w:sz="4" w:space="0"/>
            </w:tcBorders>
            <w:noWrap w:val="0"/>
            <w:vAlign w:val="center"/>
          </w:tcPr>
          <w:p w14:paraId="733B6C7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17</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0C20352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智慧大屏</w:t>
            </w: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4F25BF6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支持患者排班、宣教信息的大屏展示，可通过平板实现叫号功能。</w:t>
            </w:r>
          </w:p>
        </w:tc>
      </w:tr>
      <w:tr w14:paraId="39435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9" w:type="dxa"/>
            <w:tcBorders>
              <w:top w:val="single" w:color="000000" w:sz="4" w:space="0"/>
              <w:left w:val="single" w:color="000000" w:sz="8" w:space="0"/>
              <w:bottom w:val="single" w:color="000000" w:sz="4" w:space="0"/>
              <w:right w:val="single" w:color="000000" w:sz="4" w:space="0"/>
            </w:tcBorders>
            <w:noWrap w:val="0"/>
            <w:vAlign w:val="center"/>
          </w:tcPr>
          <w:p w14:paraId="6F5D9F3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18</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7D7F132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打印功能</w:t>
            </w: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6EA7E4D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支持记录单、材料明细、材料汇总、患者条码等各种单据、条码的打印，支持平板端无线打印功能。</w:t>
            </w:r>
          </w:p>
        </w:tc>
      </w:tr>
      <w:tr w14:paraId="00170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restart"/>
            <w:tcBorders>
              <w:top w:val="single" w:color="000000" w:sz="4" w:space="0"/>
              <w:left w:val="single" w:color="000000" w:sz="8" w:space="0"/>
              <w:bottom w:val="single" w:color="000000" w:sz="4" w:space="0"/>
              <w:right w:val="single" w:color="000000" w:sz="4" w:space="0"/>
            </w:tcBorders>
            <w:noWrap w:val="0"/>
            <w:vAlign w:val="center"/>
          </w:tcPr>
          <w:p w14:paraId="4B90035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19</w:t>
            </w:r>
          </w:p>
        </w:tc>
        <w:tc>
          <w:tcPr>
            <w:tcW w:w="1306" w:type="dxa"/>
            <w:vMerge w:val="restart"/>
            <w:tcBorders>
              <w:top w:val="single" w:color="000000" w:sz="4" w:space="0"/>
              <w:left w:val="single" w:color="000000" w:sz="4" w:space="0"/>
              <w:bottom w:val="single" w:color="000000" w:sz="4" w:space="0"/>
              <w:right w:val="single" w:color="000000" w:sz="4" w:space="0"/>
            </w:tcBorders>
            <w:noWrap w:val="0"/>
            <w:vAlign w:val="center"/>
          </w:tcPr>
          <w:p w14:paraId="0232316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科室管理</w:t>
            </w: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22376BE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1、工作量统计</w:t>
            </w:r>
          </w:p>
        </w:tc>
      </w:tr>
      <w:tr w14:paraId="11C6F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736BD31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2D569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60B2C4F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系统自动统计科室护士每天工作量，包括上机数量、交叉核对数量、执行医嘱数量、特殊护理数量、透中护理数量、危重病人处理数量、穿刺数量等日常工作量的统计。</w:t>
            </w:r>
          </w:p>
        </w:tc>
      </w:tr>
      <w:tr w14:paraId="55691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4936608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9EFB0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7FA4A0E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2、交班看板</w:t>
            </w:r>
          </w:p>
        </w:tc>
      </w:tr>
      <w:tr w14:paraId="685E1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5340252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3B3DF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4350EB2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系统自动生成医护交班信息，包括透析例次汇总、并发症交班、导管病人交班、无肝素病人交班、新病人交班、危重病人交班、患者转归交班、枸橼酸抗凝交班等交班信息。</w:t>
            </w:r>
          </w:p>
        </w:tc>
      </w:tr>
      <w:tr w14:paraId="58134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tcBorders>
              <w:top w:val="single" w:color="000000" w:sz="4" w:space="0"/>
              <w:left w:val="single" w:color="000000" w:sz="8" w:space="0"/>
              <w:bottom w:val="single" w:color="000000" w:sz="4" w:space="0"/>
              <w:right w:val="single" w:color="000000" w:sz="4" w:space="0"/>
            </w:tcBorders>
            <w:noWrap w:val="0"/>
            <w:vAlign w:val="center"/>
          </w:tcPr>
          <w:p w14:paraId="4CF351E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20</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79ADFEB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工作量管理</w:t>
            </w: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680C9F6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工作量填写、审批、月报，可设置人员小组，考核管理，工作量统计。</w:t>
            </w:r>
          </w:p>
        </w:tc>
      </w:tr>
      <w:tr w14:paraId="0AF6C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9" w:type="dxa"/>
            <w:tcBorders>
              <w:top w:val="single" w:color="000000" w:sz="4" w:space="0"/>
              <w:left w:val="single" w:color="000000" w:sz="8" w:space="0"/>
              <w:bottom w:val="single" w:color="000000" w:sz="4" w:space="0"/>
              <w:right w:val="single" w:color="000000" w:sz="4" w:space="0"/>
            </w:tcBorders>
            <w:noWrap w:val="0"/>
            <w:vAlign w:val="center"/>
          </w:tcPr>
          <w:p w14:paraId="7168FBB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21</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59D7BB5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自定义表单工具</w:t>
            </w: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12A7FB3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表单工具内置表单组件（单行文本、多行文本、下拉选择、单选框组、多项选择、时间选择、日期选择、上传、分割线、超链接），用户可根据业务需求自定义拖拽组件生成自定义表单</w:t>
            </w:r>
          </w:p>
        </w:tc>
      </w:tr>
      <w:tr w14:paraId="197B6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9" w:type="dxa"/>
            <w:tcBorders>
              <w:top w:val="single" w:color="000000" w:sz="4" w:space="0"/>
              <w:left w:val="single" w:color="000000" w:sz="8" w:space="0"/>
              <w:bottom w:val="single" w:color="000000" w:sz="4" w:space="0"/>
              <w:right w:val="single" w:color="000000" w:sz="4" w:space="0"/>
            </w:tcBorders>
            <w:noWrap w:val="0"/>
            <w:vAlign w:val="center"/>
          </w:tcPr>
          <w:p w14:paraId="2FE203E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22</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669FF6F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自定义报表工具</w:t>
            </w: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28559D9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用户可以根据业务需求自定义设计统计报表，可以自定义报表筛选条件、报表明细内容、报表展示方式（柱状图、饼状图、折线图、环状图、玫瑰图、平滑折线图、条形图、表格）</w:t>
            </w:r>
          </w:p>
        </w:tc>
      </w:tr>
      <w:tr w14:paraId="6B82E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9" w:type="dxa"/>
            <w:tcBorders>
              <w:top w:val="single" w:color="000000" w:sz="4" w:space="0"/>
              <w:left w:val="single" w:color="000000" w:sz="8" w:space="0"/>
              <w:bottom w:val="single" w:color="000000" w:sz="4" w:space="0"/>
              <w:right w:val="single" w:color="000000" w:sz="4" w:space="0"/>
            </w:tcBorders>
            <w:noWrap w:val="0"/>
            <w:vAlign w:val="center"/>
          </w:tcPr>
          <w:p w14:paraId="75E882B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23</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3C12824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接口工具</w:t>
            </w: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0AA2200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可实时查看设备通讯（透析机、体重秤、血压计）及第三方接口（HIS、LIS、PACS、EMR）运行情况，可自定义配置抓取第三方系统数据的时间频率</w:t>
            </w:r>
          </w:p>
        </w:tc>
      </w:tr>
      <w:tr w14:paraId="157AB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restart"/>
            <w:tcBorders>
              <w:top w:val="single" w:color="000000" w:sz="4" w:space="0"/>
              <w:left w:val="single" w:color="000000" w:sz="8" w:space="0"/>
              <w:bottom w:val="single" w:color="000000" w:sz="4" w:space="0"/>
              <w:right w:val="single" w:color="000000" w:sz="4" w:space="0"/>
            </w:tcBorders>
            <w:noWrap w:val="0"/>
            <w:vAlign w:val="center"/>
          </w:tcPr>
          <w:p w14:paraId="2697572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24</w:t>
            </w:r>
          </w:p>
        </w:tc>
        <w:tc>
          <w:tcPr>
            <w:tcW w:w="1306" w:type="dxa"/>
            <w:vMerge w:val="restart"/>
            <w:tcBorders>
              <w:top w:val="single" w:color="000000" w:sz="4" w:space="0"/>
              <w:left w:val="single" w:color="000000" w:sz="4" w:space="0"/>
              <w:bottom w:val="single" w:color="000000" w:sz="4" w:space="0"/>
              <w:right w:val="single" w:color="000000" w:sz="4" w:space="0"/>
            </w:tcBorders>
            <w:noWrap w:val="0"/>
            <w:vAlign w:val="center"/>
          </w:tcPr>
          <w:p w14:paraId="1A96499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数据采集盒</w:t>
            </w: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7CD6821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支持大于等于IPX2</w:t>
            </w:r>
          </w:p>
        </w:tc>
      </w:tr>
      <w:tr w14:paraId="68542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05A6CBE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D0DF6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598458A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具备CE认证</w:t>
            </w:r>
          </w:p>
        </w:tc>
      </w:tr>
      <w:tr w14:paraId="4E127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0AFA73C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8E512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5E2B0EC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防电击保护等级小于等于II</w:t>
            </w:r>
          </w:p>
        </w:tc>
      </w:tr>
      <w:tr w14:paraId="017DD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572EB66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1E97A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2C76927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工作温度范围：15 ~ 35℃</w:t>
            </w:r>
          </w:p>
        </w:tc>
      </w:tr>
      <w:tr w14:paraId="37FDE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restart"/>
            <w:tcBorders>
              <w:top w:val="single" w:color="000000" w:sz="4" w:space="0"/>
              <w:left w:val="single" w:color="000000" w:sz="8" w:space="0"/>
              <w:bottom w:val="single" w:color="000000" w:sz="4" w:space="0"/>
              <w:right w:val="single" w:color="000000" w:sz="4" w:space="0"/>
            </w:tcBorders>
            <w:noWrap w:val="0"/>
            <w:vAlign w:val="center"/>
          </w:tcPr>
          <w:p w14:paraId="1B689BA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25</w:t>
            </w:r>
          </w:p>
        </w:tc>
        <w:tc>
          <w:tcPr>
            <w:tcW w:w="1306" w:type="dxa"/>
            <w:vMerge w:val="restart"/>
            <w:tcBorders>
              <w:top w:val="single" w:color="000000" w:sz="4" w:space="0"/>
              <w:left w:val="single" w:color="000000" w:sz="4" w:space="0"/>
              <w:bottom w:val="single" w:color="000000" w:sz="4" w:space="0"/>
              <w:right w:val="single" w:color="000000" w:sz="4" w:space="0"/>
            </w:tcBorders>
            <w:noWrap w:val="0"/>
            <w:vAlign w:val="center"/>
          </w:tcPr>
          <w:p w14:paraId="1B3D1E5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人脸识别</w:t>
            </w: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02634AC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1.款式：竖款（支持落地、悬挂安装）</w:t>
            </w:r>
          </w:p>
        </w:tc>
      </w:tr>
      <w:tr w14:paraId="697F9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4C31A6A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638D4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186E795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2.屏幕：≥ 8寸</w:t>
            </w:r>
          </w:p>
        </w:tc>
      </w:tr>
      <w:tr w14:paraId="6E1B4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1E91D5E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8129A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422FE54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3.屏幕比例： 16：9</w:t>
            </w:r>
          </w:p>
        </w:tc>
      </w:tr>
      <w:tr w14:paraId="57AF8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771F553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1CC93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17C5EC2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4.工作温度： -40℃~+80℃</w:t>
            </w:r>
          </w:p>
        </w:tc>
      </w:tr>
      <w:tr w14:paraId="7F3C5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25ED9D5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8917E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4646F44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 xml:space="preserve">5.储存温度： -40~80℃ </w:t>
            </w:r>
          </w:p>
        </w:tc>
      </w:tr>
      <w:tr w14:paraId="7ECC3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2B9D725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68F29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6B23319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6.整机功率：待机功率 ≤0.5W</w:t>
            </w:r>
          </w:p>
        </w:tc>
      </w:tr>
      <w:tr w14:paraId="3BDD4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61EFF6D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C4B56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5985388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7.工作功率 ： &lt;25W</w:t>
            </w:r>
          </w:p>
        </w:tc>
      </w:tr>
      <w:tr w14:paraId="2E501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344007B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E2DBA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4" w:space="0"/>
              <w:right w:val="single" w:color="000000" w:sz="8" w:space="0"/>
            </w:tcBorders>
            <w:noWrap w:val="0"/>
            <w:vAlign w:val="center"/>
          </w:tcPr>
          <w:p w14:paraId="149F13F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8.有效识别距离： 0.5米~ 4米</w:t>
            </w:r>
          </w:p>
        </w:tc>
      </w:tr>
      <w:tr w14:paraId="653F0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879" w:type="dxa"/>
            <w:vMerge w:val="continue"/>
            <w:tcBorders>
              <w:top w:val="single" w:color="000000" w:sz="4" w:space="0"/>
              <w:left w:val="single" w:color="000000" w:sz="8" w:space="0"/>
              <w:bottom w:val="single" w:color="000000" w:sz="4" w:space="0"/>
              <w:right w:val="single" w:color="000000" w:sz="4" w:space="0"/>
            </w:tcBorders>
            <w:noWrap w:val="0"/>
            <w:vAlign w:val="center"/>
          </w:tcPr>
          <w:p w14:paraId="4E7EFD7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13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A0385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p>
        </w:tc>
        <w:tc>
          <w:tcPr>
            <w:tcW w:w="6866" w:type="dxa"/>
            <w:tcBorders>
              <w:top w:val="single" w:color="000000" w:sz="4" w:space="0"/>
              <w:left w:val="single" w:color="000000" w:sz="4" w:space="0"/>
              <w:bottom w:val="single" w:color="000000" w:sz="8" w:space="0"/>
              <w:right w:val="single" w:color="000000" w:sz="8" w:space="0"/>
            </w:tcBorders>
            <w:noWrap w:val="0"/>
            <w:vAlign w:val="center"/>
          </w:tcPr>
          <w:p w14:paraId="41D38BA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9.功能：具有人脸识别、测温、扫码、证件号识别功能。</w:t>
            </w:r>
          </w:p>
        </w:tc>
      </w:tr>
    </w:tbl>
    <w:p w14:paraId="69689D0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default"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1.</w:t>
      </w:r>
      <w:r>
        <w:rPr>
          <w:rFonts w:hint="default" w:ascii="黑体" w:hAnsi="宋体" w:eastAsia="黑体" w:cs="黑体"/>
          <w:i w:val="0"/>
          <w:iCs w:val="0"/>
          <w:caps w:val="0"/>
          <w:color w:val="000000"/>
          <w:spacing w:val="0"/>
          <w:kern w:val="0"/>
          <w:sz w:val="21"/>
          <w:szCs w:val="21"/>
          <w:shd w:val="clear" w:color="auto" w:fill="FFFFFF"/>
          <w:lang w:val="en-US" w:eastAsia="zh-CN" w:bidi="ar"/>
        </w:rPr>
        <w:t>售后服务的要求: 提供7×24小时响应支持，在规定时间内远程或赶到现场处理，协助用户查找问题原因（包括系统死机、重启、数据无法保存、系统运行异常等）、提出解决方案，30分钟内予以响应，2-4小时内远程或到达现场，8小时内修复故障。</w:t>
      </w:r>
    </w:p>
    <w:p w14:paraId="4163769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2.伴随服务：小版本升级、补丁，不包括大版本升级（大版本升级需额外付费，大版本是指计算机软件著作权登记证书显示的版本号）</w:t>
      </w:r>
    </w:p>
    <w:p w14:paraId="70FD315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3、服务期限：项目建设期不超过3个月，项目验收后，维护质保期三年。</w:t>
      </w:r>
    </w:p>
    <w:p w14:paraId="098013A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4、成交供应商须严格按照国家（行业）相关规范要求进行本项目的履约服务，并在履约服务过程中完全接受采购人的合理化建议及相关部门的监督、检查。本项目涉及的所有安全责任（含事故）均由成交供应商全部承担。</w:t>
      </w:r>
    </w:p>
    <w:p w14:paraId="7D25138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5、系统对接要求本项目所采购系统与医院业务系统自动对接（包含从现有系统取数据与将合理的电子病历的数据回写到原系统），医院现有 HIS 业务系统、门诊医生工作站系统、住院医生工作站系统、住院护士工作站系统、病案管理系统所需要的改造及对接费用已包含在本次项目中，需供应商承担。</w:t>
      </w:r>
    </w:p>
    <w:p w14:paraId="236DEE4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eastAsia" w:ascii="黑体" w:hAnsi="宋体" w:eastAsia="黑体" w:cs="黑体"/>
          <w:i w:val="0"/>
          <w:iCs w:val="0"/>
          <w:caps w:val="0"/>
          <w:color w:val="000000"/>
          <w:spacing w:val="0"/>
          <w:kern w:val="0"/>
          <w:sz w:val="21"/>
          <w:szCs w:val="21"/>
          <w:shd w:val="clear" w:color="auto" w:fill="FFFFFF"/>
          <w:lang w:val="en-US" w:eastAsia="zh-CN" w:bidi="ar"/>
        </w:rPr>
      </w:pPr>
      <w:r>
        <w:rPr>
          <w:rFonts w:hint="eastAsia" w:ascii="黑体" w:hAnsi="宋体" w:eastAsia="黑体" w:cs="黑体"/>
          <w:i w:val="0"/>
          <w:iCs w:val="0"/>
          <w:caps w:val="0"/>
          <w:color w:val="000000"/>
          <w:spacing w:val="0"/>
          <w:kern w:val="0"/>
          <w:sz w:val="21"/>
          <w:szCs w:val="21"/>
          <w:shd w:val="clear" w:color="auto" w:fill="FFFFFF"/>
          <w:lang w:val="en-US" w:eastAsia="zh-CN" w:bidi="ar"/>
        </w:rPr>
        <w:t>6、服务响应时间：1小时响应，2小时内处理。特殊情况书面沟通。否则视为违约。</w:t>
      </w:r>
    </w:p>
    <w:p w14:paraId="68E5BA1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default" w:ascii="黑体" w:hAnsi="宋体" w:eastAsia="黑体" w:cs="黑体"/>
          <w:i w:val="0"/>
          <w:iCs w:val="0"/>
          <w:caps w:val="0"/>
          <w:color w:val="000000"/>
          <w:spacing w:val="0"/>
          <w:kern w:val="0"/>
          <w:sz w:val="21"/>
          <w:szCs w:val="21"/>
          <w:shd w:val="clear" w:color="auto" w:fill="FFFFFF"/>
          <w:lang w:val="en-US" w:eastAsia="zh-CN" w:bidi="ar"/>
        </w:rPr>
      </w:pPr>
    </w:p>
    <w:p w14:paraId="12A3B74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360" w:lineRule="atLeast"/>
        <w:ind w:right="0"/>
        <w:jc w:val="both"/>
        <w:rPr>
          <w:rFonts w:hint="default" w:ascii="黑体" w:hAnsi="宋体" w:eastAsia="黑体" w:cs="黑体"/>
          <w:i w:val="0"/>
          <w:iCs w:val="0"/>
          <w:caps w:val="0"/>
          <w:color w:val="000000"/>
          <w:spacing w:val="0"/>
          <w:kern w:val="0"/>
          <w:sz w:val="21"/>
          <w:szCs w:val="21"/>
          <w:shd w:val="clear" w:color="auto" w:fill="FFFFFF"/>
          <w:lang w:val="en-US" w:eastAsia="zh-CN" w:bidi="ar"/>
        </w:rPr>
      </w:pPr>
    </w:p>
    <w:sectPr>
      <w:pgSz w:w="11906" w:h="16838"/>
      <w:pgMar w:top="1474" w:right="1134" w:bottom="1474" w:left="1417" w:header="851" w:footer="992" w:gutter="0"/>
      <w:cols w:space="72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5F34385-3CDD-4AE3-82F9-D935F528195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华文宋体">
    <w:altName w:val="宋体"/>
    <w:panose1 w:val="00000000000000000000"/>
    <w:charset w:val="00"/>
    <w:family w:val="auto"/>
    <w:pitch w:val="default"/>
    <w:sig w:usb0="00000000" w:usb1="00000000" w:usb2="00000000" w:usb3="00000000" w:csb0="00040001" w:csb1="00000000"/>
  </w:font>
  <w:font w:name="新宋体">
    <w:panose1 w:val="02010609030101010101"/>
    <w:charset w:val="86"/>
    <w:family w:val="auto"/>
    <w:pitch w:val="default"/>
    <w:sig w:usb0="000002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070155"/>
    <w:multiLevelType w:val="multilevel"/>
    <w:tmpl w:val="1C070155"/>
    <w:lvl w:ilvl="0" w:tentative="0">
      <w:start w:val="1"/>
      <w:numFmt w:val="decimal"/>
      <w:pStyle w:val="2"/>
      <w:suff w:val="space"/>
      <w:lvlText w:val="%1"/>
      <w:lvlJc w:val="left"/>
      <w:pPr>
        <w:ind w:left="0" w:firstLine="0"/>
      </w:pPr>
    </w:lvl>
    <w:lvl w:ilvl="1" w:tentative="0">
      <w:start w:val="1"/>
      <w:numFmt w:val="decimal"/>
      <w:suff w:val="space"/>
      <w:lvlText w:val="%1.%2"/>
      <w:lvlJc w:val="left"/>
      <w:pPr>
        <w:ind w:left="0" w:firstLine="0"/>
      </w:pPr>
    </w:lvl>
    <w:lvl w:ilvl="2" w:tentative="0">
      <w:start w:val="1"/>
      <w:numFmt w:val="decimal"/>
      <w:suff w:val="space"/>
      <w:lvlText w:val="%1.%2.%3"/>
      <w:lvlJc w:val="left"/>
      <w:pPr>
        <w:ind w:left="0" w:firstLine="0"/>
      </w:pPr>
      <w:rPr>
        <w:rFonts w:hint="eastAsia"/>
      </w:rPr>
    </w:lvl>
    <w:lvl w:ilvl="3" w:tentative="0">
      <w:start w:val="1"/>
      <w:numFmt w:val="decimal"/>
      <w:suff w:val="space"/>
      <w:lvlText w:val="%1.%2.%3.%4"/>
      <w:lvlJc w:val="left"/>
      <w:pPr>
        <w:ind w:left="0" w:firstLine="0"/>
      </w:pPr>
      <w:rPr>
        <w:rFonts w:hint="eastAsia"/>
      </w:rPr>
    </w:lvl>
    <w:lvl w:ilvl="4" w:tentative="0">
      <w:start w:val="1"/>
      <w:numFmt w:val="decimal"/>
      <w:suff w:val="space"/>
      <w:lvlText w:val="%1.%2.%3.%4.%5"/>
      <w:lvlJc w:val="left"/>
      <w:pPr>
        <w:ind w:left="0" w:firstLine="0"/>
      </w:pPr>
      <w:rPr>
        <w:rFonts w:hint="eastAsia"/>
      </w:rPr>
    </w:lvl>
    <w:lvl w:ilvl="5" w:tentative="0">
      <w:start w:val="1"/>
      <w:numFmt w:val="decimal"/>
      <w:suff w:val="space"/>
      <w:lvlText w:val="%1.%2.%3.%4.%5.%6"/>
      <w:lvlJc w:val="left"/>
      <w:pPr>
        <w:ind w:left="0" w:firstLine="0"/>
      </w:pPr>
      <w:rPr>
        <w:rFonts w:hint="eastAsia"/>
      </w:rPr>
    </w:lvl>
    <w:lvl w:ilvl="6" w:tentative="0">
      <w:start w:val="1"/>
      <w:numFmt w:val="decimal"/>
      <w:suff w:val="space"/>
      <w:lvlText w:val="%1.%2.%3.%4.%5.%6.%7"/>
      <w:lvlJc w:val="left"/>
      <w:pPr>
        <w:ind w:left="0" w:firstLine="0"/>
      </w:pPr>
      <w:rPr>
        <w:rFonts w:hint="eastAsia"/>
      </w:rPr>
    </w:lvl>
    <w:lvl w:ilvl="7" w:tentative="0">
      <w:start w:val="1"/>
      <w:numFmt w:val="decimal"/>
      <w:suff w:val="space"/>
      <w:lvlText w:val="%1.%2.%3.%4.%5.%6.%7.%8"/>
      <w:lvlJc w:val="left"/>
      <w:pPr>
        <w:ind w:left="0" w:firstLine="0"/>
      </w:pPr>
      <w:rPr>
        <w:rFonts w:hint="eastAsia"/>
      </w:rPr>
    </w:lvl>
    <w:lvl w:ilvl="8" w:tentative="0">
      <w:start w:val="1"/>
      <w:numFmt w:val="decimal"/>
      <w:suff w:val="space"/>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xZjM4OTk5OGZkNGY0NWQyOTNjZWQyYjUzMmJmMjQifQ=="/>
  </w:docVars>
  <w:rsids>
    <w:rsidRoot w:val="6AA32A41"/>
    <w:rsid w:val="004529A3"/>
    <w:rsid w:val="00E248D3"/>
    <w:rsid w:val="02BB32D3"/>
    <w:rsid w:val="032D3A42"/>
    <w:rsid w:val="065975F0"/>
    <w:rsid w:val="06E33E69"/>
    <w:rsid w:val="094812B4"/>
    <w:rsid w:val="09886F06"/>
    <w:rsid w:val="0B0D4AA9"/>
    <w:rsid w:val="0C541CC6"/>
    <w:rsid w:val="0E5C6DE4"/>
    <w:rsid w:val="0F58351E"/>
    <w:rsid w:val="0FC835BA"/>
    <w:rsid w:val="13CE4A0B"/>
    <w:rsid w:val="1444100B"/>
    <w:rsid w:val="1491636F"/>
    <w:rsid w:val="1A4C32C6"/>
    <w:rsid w:val="1B5A5DB7"/>
    <w:rsid w:val="1B6A69F3"/>
    <w:rsid w:val="1D6A0806"/>
    <w:rsid w:val="234D2D02"/>
    <w:rsid w:val="25435032"/>
    <w:rsid w:val="289B498D"/>
    <w:rsid w:val="28B81909"/>
    <w:rsid w:val="2CC95BD5"/>
    <w:rsid w:val="2EDD2DB9"/>
    <w:rsid w:val="3125639F"/>
    <w:rsid w:val="37EA7C79"/>
    <w:rsid w:val="3C43009F"/>
    <w:rsid w:val="3C6552F9"/>
    <w:rsid w:val="3EBC04D8"/>
    <w:rsid w:val="442D62D1"/>
    <w:rsid w:val="444A5F3D"/>
    <w:rsid w:val="4D345277"/>
    <w:rsid w:val="4EF62502"/>
    <w:rsid w:val="53C74201"/>
    <w:rsid w:val="56EF0BCE"/>
    <w:rsid w:val="57C51C50"/>
    <w:rsid w:val="597F0CE1"/>
    <w:rsid w:val="5A3434BD"/>
    <w:rsid w:val="5A865F22"/>
    <w:rsid w:val="5E4E4EC8"/>
    <w:rsid w:val="655854D9"/>
    <w:rsid w:val="67593960"/>
    <w:rsid w:val="68284188"/>
    <w:rsid w:val="6AA32A41"/>
    <w:rsid w:val="6E193CFE"/>
    <w:rsid w:val="6EE81033"/>
    <w:rsid w:val="72EB327C"/>
    <w:rsid w:val="74D576FD"/>
    <w:rsid w:val="7553098C"/>
    <w:rsid w:val="75C02C72"/>
    <w:rsid w:val="782E7108"/>
    <w:rsid w:val="790265C4"/>
    <w:rsid w:val="7B4E7DC1"/>
    <w:rsid w:val="7CBE32FB"/>
    <w:rsid w:val="7CF14B65"/>
    <w:rsid w:val="7D681402"/>
    <w:rsid w:val="7F383FD9"/>
    <w:rsid w:val="7F6B35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0"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rPr>
  </w:style>
  <w:style w:type="paragraph" w:styleId="2">
    <w:name w:val="heading 1"/>
    <w:basedOn w:val="1"/>
    <w:next w:val="3"/>
    <w:qFormat/>
    <w:uiPriority w:val="0"/>
    <w:pPr>
      <w:keepNext/>
      <w:keepLines/>
      <w:numPr>
        <w:ilvl w:val="0"/>
        <w:numId w:val="1"/>
      </w:numPr>
      <w:spacing w:before="340" w:after="330" w:line="578" w:lineRule="auto"/>
      <w:outlineLvl w:val="0"/>
    </w:pPr>
    <w:rPr>
      <w:b/>
      <w:bCs/>
      <w:kern w:val="44"/>
      <w:sz w:val="44"/>
      <w:szCs w:val="44"/>
    </w:rPr>
  </w:style>
  <w:style w:type="character" w:default="1" w:styleId="12">
    <w:name w:val="Default Paragraph Font"/>
    <w:unhideWhenUsed/>
    <w:uiPriority w:val="0"/>
  </w:style>
  <w:style w:type="table" w:default="1" w:styleId="10">
    <w:name w:val="Normal Table"/>
    <w:unhideWhenUsed/>
    <w:qFormat/>
    <w:uiPriority w:val="99"/>
    <w:tblPr>
      <w:tblCellMar>
        <w:top w:w="0" w:type="dxa"/>
        <w:left w:w="108" w:type="dxa"/>
        <w:bottom w:w="0" w:type="dxa"/>
        <w:right w:w="108" w:type="dxa"/>
      </w:tblCellMar>
    </w:tblPr>
  </w:style>
  <w:style w:type="paragraph" w:customStyle="1" w:styleId="3">
    <w:name w:val="首行缩进"/>
    <w:basedOn w:val="4"/>
    <w:qFormat/>
    <w:uiPriority w:val="0"/>
    <w:pPr>
      <w:spacing w:after="0" w:line="360" w:lineRule="auto"/>
      <w:ind w:firstLine="200" w:firstLineChars="200"/>
    </w:pPr>
    <w:rPr>
      <w:sz w:val="24"/>
    </w:rPr>
  </w:style>
  <w:style w:type="paragraph" w:styleId="4">
    <w:name w:val="Body Text First Indent"/>
    <w:basedOn w:val="5"/>
    <w:next w:val="6"/>
    <w:unhideWhenUsed/>
    <w:qFormat/>
    <w:uiPriority w:val="99"/>
    <w:pPr>
      <w:ind w:firstLine="420" w:firstLineChars="100"/>
    </w:pPr>
  </w:style>
  <w:style w:type="paragraph" w:styleId="5">
    <w:name w:val="Body Text"/>
    <w:basedOn w:val="1"/>
    <w:next w:val="1"/>
    <w:unhideWhenUsed/>
    <w:qFormat/>
    <w:uiPriority w:val="99"/>
    <w:pPr>
      <w:spacing w:after="120"/>
    </w:pPr>
  </w:style>
  <w:style w:type="paragraph" w:customStyle="1" w:styleId="6">
    <w:name w:val="段落正文"/>
    <w:basedOn w:val="1"/>
    <w:qFormat/>
    <w:uiPriority w:val="0"/>
    <w:pPr>
      <w:spacing w:before="50" w:beforeLines="50" w:line="360" w:lineRule="auto"/>
      <w:ind w:firstLine="200" w:firstLineChars="200"/>
    </w:pPr>
    <w:rPr>
      <w:rFonts w:ascii="Times New Roman" w:hAnsi="Times New Roman"/>
      <w:spacing w:val="2"/>
      <w:sz w:val="24"/>
      <w:szCs w:val="20"/>
    </w:rPr>
  </w:style>
  <w:style w:type="paragraph" w:styleId="7">
    <w:name w:val="footer"/>
    <w:basedOn w:val="1"/>
    <w:unhideWhenUsed/>
    <w:qFormat/>
    <w:uiPriority w:val="0"/>
    <w:pPr>
      <w:tabs>
        <w:tab w:val="center" w:pos="4153"/>
        <w:tab w:val="right" w:pos="8306"/>
      </w:tabs>
      <w:snapToGrid w:val="0"/>
      <w:jc w:val="left"/>
    </w:pPr>
    <w:rPr>
      <w:sz w:val="18"/>
    </w:rPr>
  </w:style>
  <w:style w:type="paragraph" w:styleId="8">
    <w:name w:val="header"/>
    <w:basedOn w:val="1"/>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font21"/>
    <w:basedOn w:val="12"/>
    <w:qFormat/>
    <w:uiPriority w:val="0"/>
    <w:rPr>
      <w:rFonts w:hint="eastAsia" w:ascii="微软雅黑" w:hAnsi="微软雅黑" w:eastAsia="微软雅黑" w:cs="微软雅黑"/>
      <w:color w:val="000000"/>
      <w:sz w:val="18"/>
      <w:szCs w:val="18"/>
      <w:u w:val="none"/>
    </w:rPr>
  </w:style>
  <w:style w:type="character" w:customStyle="1" w:styleId="14">
    <w:name w:val="font01"/>
    <w:basedOn w:val="12"/>
    <w:qFormat/>
    <w:uiPriority w:val="0"/>
    <w:rPr>
      <w:rFonts w:hint="eastAsia" w:ascii="宋体" w:hAnsi="宋体" w:eastAsia="宋体" w:cs="宋体"/>
      <w:color w:val="000000"/>
      <w:sz w:val="22"/>
      <w:szCs w:val="22"/>
      <w:u w:val="none"/>
    </w:rPr>
  </w:style>
  <w:style w:type="character" w:customStyle="1" w:styleId="15">
    <w:name w:val="font31"/>
    <w:basedOn w:val="12"/>
    <w:qFormat/>
    <w:uiPriority w:val="0"/>
    <w:rPr>
      <w:rFonts w:hint="default" w:ascii="华文宋体" w:hAnsi="华文宋体" w:eastAsia="华文宋体" w:cs="华文宋体"/>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Normal.wpt</Template>
  <Pages>6</Pages>
  <Words>549</Words>
  <Characters>615</Characters>
  <Lines>1</Lines>
  <Paragraphs>1</Paragraphs>
  <TotalTime>2</TotalTime>
  <ScaleCrop>false</ScaleCrop>
  <LinksUpToDate>false</LinksUpToDate>
  <CharactersWithSpaces>739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2015-03-12T05:32:00Z</dcterms:created>
  <dc:creator>Administrator</dc:creator>
  <cp:lastModifiedBy>张到恨不了水</cp:lastModifiedBy>
  <cp:lastPrinted>2023-10-08T07:36:00Z</cp:lastPrinted>
  <dcterms:modified xsi:type="dcterms:W3CDTF">2026-07-14T06:30:57Z</dcterms:modified>
  <dc:title>温江区中医医院设备询价公示</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81071F2D8DAE4373B5893CAB081F11D5_13</vt:lpwstr>
  </property>
  <property fmtid="{D5CDD505-2E9C-101B-9397-08002B2CF9AE}" pid="4" name="commondata">
    <vt:lpwstr>eyJoZGlkIjoiNzg4NWE4MTM2NWQ1YjA3NzMwNDFhMGFhMzczOGRmNTgifQ==</vt:lpwstr>
  </property>
  <property fmtid="{D5CDD505-2E9C-101B-9397-08002B2CF9AE}" pid="5" name="KSOTemplateDocerSaveRecord">
    <vt:lpwstr>eyJoZGlkIjoiZjQ4Yjc0MzA2N2ZiNzM4MmIyODk1N2E4ZjI3YjY4MTIiLCJ1c2VySWQiOiI0MzEzMDQzODMifQ==</vt:lpwstr>
  </property>
</Properties>
</file>